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19.07.2018, оставленным без изменения постановлением Двадцатого арбитражного апелляционного суда от 14.05.2019, в удовлетворении заявленного требования отказано. Постановлением Арбитражного суда Центрального округа от 16.10.2019 решение суда первой инстанции и постановление суда апелляционной инстанции отменены в части отказа в удовлетворении требования о признании недействительным решения инспекции по эпизоду, связанному с доначислением налога на добавленную стоимость, пени и штрафа по данному налогу и дело в указанной части направлено на новое рассмотрение в суд первой инстанции. В остальной части судебные акты оставлены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удовлетворении требования и в этой части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принятым по результатам выездной налоговой проверки, обществу доначислено 34 770 500 рублей налога на добавленную стоимость, 2 042 066 рублей налога на прибыль и 172 686 рублей налога на имущество, начислено 11 447 413 рублей пеней и 15 056 226 рублей штрафа по пункту 1 статьи 119 и пункту 1 статьи 122 Налогового кодекса Российской Федерации (далее – Налоговый кодекс). Основанием для принятия решения послужил вывод налогового органа о неправомерном применении обществом специального налогового режима в виде упрощенной системы налогообложения ввиду формального соблюдения действующего законодательства с целью получения необоснованной налоговой выгоды посредством распределения доходов, полученных от оказания услуг по осуществлению пассажирских перевозок, между несколькими подконтрольными организациями, применяющими систему налогообложения в виде единого налога на вмененный доход. Оценив представленные в материалы дела доказательства, суды, руководствуясь положениями статей 246.11 , 346.12 , 346.13 (в редакции Федерального закона от 25.06.2012 № 94-ФЗ), 346.19 , 346.20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наличии у налогового органа правовых оснований для принятия решения ввиду доказанности совокупности обстоятельств, свидетельствующих о направленности действий общества на получение необоснованной налоговой выгоды в виде применения специального налогового режима путем разделения (дробления) бизнеса и искусственного распределения выручки от осуществляемой деятельности на подконтрольные организации. При этом суды отметили, что между заявителем и подконтрольными ему организациями разделение деятельности фактически отсутствует, субъекты организационно не обособлены и их деятельность является частью единого производственного процесса, направленного на достижение общего экономического результата. Доводы, изложенные в кассационной жалобе, в том числе о неверном определении инспекцией средней численности работников, являлись предметом рассмотрения судов и получили надлежащую правовую оценку с учетом установленных обстоятельств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не подтверждают существенных нарушений норм права, повлиявших на исход дела, и не могут служить основанием для отмены судебных актов в кассационном порядке.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«АвтоКлуб Рязани»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"АвтоКлуб Рязани" (подробнее) Ответчики: Межрайонная ИФНС России №6 по Рязанской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