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Возражения против выводов судов об обстоятельствах дела, вытекающие из доводов жалобы и направленные, по существу, на их повторное исследование, в силу части 1 статьи 29111, части 2 статьи 29114 Арбитражного процессуального кодекса Российской Федерации не могут являться основанием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«Ацамаз»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промышленности и торговли Удмуртской Республики (подробнее) Ответчики: ООО "Ацамаз"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