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Возражения против выводов судов об обстоятельствах дела, вытекающие из доводов жалобы и направленные, по существу, на их повторное исследование, в силу части 1 статьи 29111, части 2 статьи 29114 Арбитражного процессуального кодекса Российской Федерации не могут являться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«Альфа-моторс»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"КамаРегионГрупп", г. Набережные Челны (подробнее) Ответчики: ООО "Альфа-моторс", г. Челябинск (подробнее) ООО "КамаРегионГрупп", г.Набережные Челны (подробнее) Иные лица: Инспекция Федеральной налоговой службы по Ленинскому району г. Челябинска (подробнее) Одиннадцатый Арбитражный апелляционный суд (подробнее) ОСП по ВАШ по г.Челябинску УФССП России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