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Возражения против выводов судов об обстоятельствах дела, вытекающие из доводов жалобы и направленные, по существу, на их повторное исследование, в силу части 1 статьи 29111, части 2 статьи 29114 Арбитражного процессуального кодекса Российской Федерации не могут являться основанием для пересмотра судебных актов Судебной коллегией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СОБОЛЕВСКИЙ СЕРГЕЙ АРКАДЬЕВИЧ (подробнее) Ответчики: ГОСУДАРСТВЕННОЕ БЮДЖЕТНОЕ ПРОФЕССИОНАЛЬНОЕ ОБРАЗОВАТЕЛЬНОЕ УЧРЕЖДЕНИЕ ГОРОДА МОСКВЫ "ОБРАЗОВАТЕЛЬНЫЙ КОМПЛЕКС "ЮГО-ЗАПАД"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