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Сафиной Р.Ф. в Арбитражный суд Республики Татарстан обратилось ООО «АНТА» с заявлением о включении в реестр требований кредиторов должника требования в размере 3 605 999 рублей 53 копеек, как обеспеченного залогом. Определением Арбитражного суда Республики Татарстан от 10.03.2022 заявление удовлетворено частично, требование общества включено в реестр требований кредиторов должника в состав третьей очереди в размере 1 243 854 рублей 56 копеек, в удовлетворении заявления в остальной части отказано. Постановлением Одиннадцатого арбитражного апелляционного суда от 20.05.2022 определение суда первой инстанции оставлено без изменения. Арбитражный суд Поволжского округа постановлением от 13.07.2022 указанные судебные акты оставил без изменения. ООО «АНТА» обратилось в Судебную коллегию Верховного Суда Российской Федерации с кассационной жалобой на принятые по обособленному спору судебные акты в части отказа во включении требования в реестр как обеспеченного залогом,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в части включения в реестр требований кредиторов должника задолженности как обеспеченной залогом, суды руководствовались положениями статей 348, 352 Гражданского кодекса Российской Федерации, разъяснениями, изложенными в абзаце 4 пункта 1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исходили из того, что на момент рассмотрения требования кредитора заложенное имущество выбыло из владения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