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08.02.2021 удовлетворено ходатайство финансового управляющего имуществом должника об изменении способа исполнения определения Арбитражного суда города Москвы от 28.07.2020 в части применения последствий недействительности сделки путем замены последствий недействительности сделки в виде приведения сторон в положение, существующее до совершения оспариваемой сделки, на взыскание с ФИО2 в пользу должника денежных средств. Не согласившись с вынесенным определением, ФИО3 обратилась в Девятый арбитражный апелляционный суд с апелляционной жалобой, заявив ходатайство о восстановлении пропущенного срока. Определением Девятого арбитражного апелляционного суда от 12.04.2022 в удовлетворении ходатайства о восстановлении пропущенного срока на подачу апелляционной жалобы отказано, производство по апелляционной жалобе прекращено. Арбитражный суд Московского округа постановлением от 17.06.2022 определение суда апелляционной инстанции отменил и направил апелляционную жалобу в Девятый арбитражный апелляционный суд для рассмотрения по существу. Финансовый управляющий ФИО1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Установив, что у суда апелляционной инстанции отсутствовали основания для отказа в удовлетворении ходатайства о восстановлении срока на подачу апелляционной жалобы лицом, не имеющим сведений об обжалуемом судебном акте, и указанные нарушения апелляционным судом норм процессуального права привели к принятию неправильного судебного акта, окружной суд отменил определение суда апелляционной инстанции и направил жалобу на новое рассмотрение, действуя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КБ Ситибанк (подробнее) АССОЦИАЦИЯ АРБИТРАЖНЫХ УПРАВЛЯЮЩИХ "ГАРАНТИЯ" (подробнее) ИФНС России №14 по г. Москве (подробнее) ООО "КВАРЦ AU" (подробнее) Иные лица: Ассоциация СРО ПАУ ЦФО (подробнее) В.Н. ДОБРЫШКИН (подробнее) ОМВД России по городскому округу Ступино (подробнее) Управление Росреестра по Чувашской Республике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