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кредиторобщество «ЭлГрупп Москва» - обратился в суд с заявлением о признании недействительными платежей, совершенных 28.06.2018 должником в пользу работников в общем размере 6 192 580 рублей, и о применении последствий их недействительности. Определением Арбитражного суда города Москвы от 26.05.2020 в удовлетворении заявления конкурсного управляющего должником отказано. Постановлениями Девятого арбитражного апелляционного суда от 13.08.2021 и Арбитражного суда Московского округа от 22.12.2021 определение суда первой инстанции оставлено без изменения. В кассационной жалобе, поданной в Верховный Суд Российской Федерации, общество «ЭлГрупп Москва» просит отменить названные определение и постановления.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статьи 61.2 Федерального закона от 26.10.2002 № 127-ФЗ «О несостоятельности (банкротстве)», исходили из недоказанности наличия совокупности условий, необходимых для признания спорных операций недействительными по заявленным основаниям. В частности, суды указали на осуществление должников хозяйственной деятельности, обусловившей выплату премий, и получение поощрения в соответствии с положением о премировании за добросовестно исполняемые трудовые функции. Суд округа согласился с позицией судов.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