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13.12.2018, оставленным без изменения постановлением Тринадцатого арбитражного апелляционного суда от 01.03.2019 и постановлением Арбитражного суда Северо-Западного округа от 24.06.2019, исковые требования удовлетворены частично. В кассационной жалобе, поданной в Верховный Суд Российской Федерации, Общество, ссылаясь на нарушение судами норм материального права, просит отменить указанные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Удовлетворяя исковые требования, суды руководствовались положениями 382, 384 Гражданского кодекса Российской Федерации и исходили из установленного факта неисполнения ответчиком обязанности по возврату денежных средств. Доводы кассационной жалобы не подтверждают существенных нарушений норм права, повлиявших на исход дела, в связи с чем оснований для передачи жалобы для рассмотрения в судебном заседании Судебной коллегии Верховного Суда Российской Федерации не имеется.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«ЛП»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Индивидуальный предприниматель Тенишев Тимур Рашидович (для ООО "МАКВЭР") (подробнее) Ответчики: ООО "ЛП" (подробнее) Иные лица: ЛУКЬЯНОВ ЮРИЙ ИВАНОВИЧ (подробнее) Последние документы по делу: Определение от 4 октября 2022 г. по делу № А56-80367/2018 Определение от 10 сентября 2019 г. по делу № А56-80367/2018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