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№ 34 по городу Москве (далее – уполномоченный орган) обратилась в суд с заявлением о включении реестр требований кредиторов должника (далее – реестр) задолженности в размере 197 348 217 рублей 21 копейка. Определением Арбитражного суда города Москвы от 14.10.2022, оставленным без изменения постановлениями Девятого арбитражного апелляционного суда от 06.04.2022 и Арбитражного суда Московского округа от 17.06.2022, требования уполномоченного органа включены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позицией, изложенной в пункте 12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РФ 20.12.2016, указав на соблюдение сроков подачи настоящего заявления в суд, пришли к выводу об обоснованности и подтверждённости требований уполномоченного органа к должнику, и, как следствие, установили наличие оснований для их включения в третью очередь реестра, отклонив доводы конкурсного управляющего должником о наличии оснований для прекращения производства по настоящему заявлению.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«Клавто» Синченко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