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21.09.2022 с ходатайством о восстановлении срока, пропуск которого обосновывает уходом за больными родственниками. Кроме того, Воропаева О.В. ссылается на публикациию 11.06.2022 полного текста постановления окружного суда от 10.06.2022. Согласно части 2 статьи 291.2 Арбитражного процессуального кодекса Российской Федерации восстановление срока возможно при пропуске его по причинам, не зависящим от лица, обратившегося с такой жалобой. Официальное опубликование текста судебного акта на следующий день после изготовления его в полном объеме указывает на отсутствие нарушения судом срока его изготовления и рассылки, которые могли бы повлиять на исчисление срока на обжалование в ином, нежели предусмотрено статьей 291.2 Кодекса порядке. Названная подателем жалобы причина пропуска срока на обжалование является субъективной и преодолимой через представительство, поэтому не создает повода для восстановления срока. 2 В такой ситуации оснований для восстановления срока не имеется.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Воропаевой Оксане Владимировне в восстановлении срока подачи кассационной жалобы на определение Арбитражного суда Республики Карелия от 14.09.2021 и постановление Арбитражного суда Северо-Западного округа от 10.06.2022 по делу № А26-13219/2018. Судья Верховного Суда Российской Федерации О.Ю. Шилохвост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