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Оглоблина Михаила Андреевича в Арбитражный суд города Москвы обратился финансовый управляющий Замалаев Павел Сергеевич с заявлением о признании недействительными платежей, перечисленных со счета должника в пользу Рабаданова М.С. за период с 27.02.2018 по 14.10.2018 в размере 10 027 000 рублей, и применении последствий недействительности сделки. Определением Арбитражного суда города Москвы от 25.01.2022 заявление удовлетворено, платежи признаны недействительной сделкой; применены последствия недействительности сделки в виде взыскания с Рабаданова М.С. в конкурсную массу должника спорной суммы. Постановлением Девятого арбитражного апелляционного суда от 06.04.2022 определение суда первой инстанции оставлено без изменения. Арбитражный суд Московского округа постановлением от 29.06.2022 указанные судебные акты оставил без изменения. Рабаданов М.С.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доказанности наличия совокупности условий, необходимой для признания оспариваемых сделок недействительными. В частности, суды установили, что оспариваемые платежи совершены в период неплатежеспособности должника, безвозмездно, в отношении аффилированного лица, в отсутствие какого-либо встречного предоставления.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