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«Авиакомпания Эйрбриджкарго» (далее – общество) обратилось в Арбитражный суд города Москвы с иском к федеральному казенному учреждению «Главное бюро медико-социальной экспертизы по г. Москве» Министерства труда и социальной защиты Российской Федерации (далее – учреждение) и Министерству труда и социальной защиты Российской Федерации (далее – 2 министерство) о взыскании 5 284 697 рублей 33 копеек убытков в виде выплаченных денежных средств по возмещению вреда здоровью. Решением Арбитражного суда города Москвы от 18.08.2020, оставленным без изменения постановлением Девятого арбитражного апелляционного суда от 19.11.2020, обществу отказано в удовлетворении исковых требований. Арбитражный суд Московского округа постановлением от 27.04.2021 отменил указанные судебные акты и направил дело на новое рассмотрение в суд первой инстанции. При новом рассмотрении дела решением Арбитражного суда города Москвы от 17.11.2021, оставленным без изменения постановлением Девятого арбитражного апелляционного суда от 08.02.2022, прекращено производство по делу в части требований к министерству в связи отказом общества от исковых требований в указанной части; с учреждения в пользу общества взыскано 5 284 697 рублей 33 копейки убытков. Арбитражный суд Московского округа постановлением от 23.05.2022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24.08.2022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доказательства, принимая во внимание установленные вступившими в 3 законную силу судебными актами по делу № 2-873/16 Солнцевского районного суда г. Москвы, по делу № 2-40/17 Савеловского районного суда г. Москвы, по делу № 2-2131/19 Солнцевского районного суда г. Москвы обстоятельства, суды пришли к выводу о том, что выплата обществом в пользу Тертышного С.В. излишних денежных средств произошла вследствие неправомерных решений учреждения.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Федерального закона от 24.07.1998 № 125-ФЗ «Об обязательном социальном страховании от несчастных случаев на производстве и профессиональных заболеваний», суды признали правомерными требования общества и удовлетворили их. Обжалуя судебные акты в Верховный Суд Российской Федерации, учреждение приводит доводы, которые являлись предметом рассмотрения судов и получили правовую оценку с учетом установленных фактических обстоятельств дела. Вывод судов о том, что факт выплаты обществом в пользу Тертышного С.В. излишних денежных средств произошел вследствие неправомерных решений учреждения, основан на представленных в деле доказательствах и установленных фактических обстоятельствах. Несогласие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учреждением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