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настоящего дела решением Арбитражного суда города Санкт- Петербурга и Ленинградской области от 04.08.2021 отказано в удовлетворении иска финансового управляющего имуществом Парамонова Е.В. Федорова Михаила Юрьевича о взыскании с арбитражного управляющего Колина Андрея Михайловича убытков в размере 17 555 180 рублей. Впоследствии Парамонов Е.В. обратился в апелляционный суд с жалобой на указанное решение от 04.08.2021, ходатайствуя о восстановлении пропущенного срока подачи жалобы. Определением Тринадцатого арбитражного апелляционного суда от 21.01.2022, оставленным без изменения определением Арбитражного суда Северо-Западного округа от 31.03.2022, жалоба возвращена заявителю. В кассационной жалобе, поданной в Верховный Суд Российской Федерации, заявитель просит отменить указанные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апелляционный суд, руководствуясь положениями статей 9, 117 и 264 Арбитражного процессуального кодекса Российской Федерации, пришёл к выводу об отсутствии уважительных причин пропуска заявителем процессуального срока на подачу жалобы. Проверяя обоснованность возврата жалобы, суд округа не установил нарушений норм процессуального права и согласился с указанными выводами, обоснованно отклонив доводы заявителя.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Парамонову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