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27.09.2022 обратился в Верховный Суд Российской Федерации с жалобой на определение судьи Верховного Суда Российской Федерации от 03.08.2022 № 309-ЭС22-11453, решение Арбитражного суда Свердловской области от 20.09.2021, постановление Семнадцатого арбитражного апелляционного суда от 22.12.2021 и постановление Арбитражного суда Уральского округа от 21.03.2022 по делу № А60-20233/2021,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«Урал-Статус»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