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«ТК «Атлант»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ООО «БИЭЛ» 3 182 100 рублей неустойки. Решением Арбитражного суда города Москвы от 24.11.2021 иск удовлетворен в части взыскания 2 850 000 рублей неустойки, в удовлетворении иска в остальной части отказано. Постановлением Девятого арбитражного апелляционного суда от 22.02.2022 решение суда первой инстанции оставлено без изменения. Арбитражный суд Московского округа постановлением от 03.06.2022 указанные судебные акты оставил без изменения. ООО «БИЭЛ»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309, 310, 330, 333, 781 Гражданского кодекса Российской Федерации, статьями 62, 99, 100 Федерального закона от 10.01.2003 № 18-ФЗ «Устав железнодорожного транспорта Российской Федерации» и с учетом конкретных обстоятельств дела, установив превышение срока завершения грузовых операций и превышение технологического срока оборота вагонов, пришли к выводу о правомерности требования о взыскании неустойки, снизив ее размер на основании статьи 333 Гражданского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