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Вологодской области от 17.12.2021, оставленным без изменения постановлением Четырнадцатого арбитражного апелляционного суда от 04.03.2022 и постановлением Арбитражного суда Северо-Западного округа от 07.06.2022, в удовлетворении заявления отказано. В кассационной жалобе ФИО1 просит об отмене судебных актов, ссылаясь на неправильную оценку обстоятельств заключения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оспариваемая сделка не противоречит ни законодательству о банкротстве, ни общим нормам гражданского законодательства об основаниях недействительности сделок. Иная оценка обстоятельств совершения сделки не создает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Шиллер Артём Анатольевич (подробнее) Иные лица: АДМИНИСТРАЦИЯ ВОЛОГОДСКОГО МУНИЦИПАЛЬНОГО РАЙОНА (подробнее) Департамент по обеспечению деятельности мировых судей Вологодской области (подробнее) МУП ЖКХ "Вологдагорводоканал" (подробнее) ООО "Информ-оценка" (подробнее) ПАО "Вологдаэноргосбыт" (подробнее) ПАО ПО "вологодские электрические сети" МРСК Северо-Запада (подробнее) управление Росреестра по Вологодской области (подробнее) Четырнадцатый арбитражный апелляционный суд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