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08.10.2021, оставленным без изменения постановлением Тринадцатого арбитражного апелляционного суда от 21.02.2022 и постановлением Арбитражного суда Северо-Западного округа от 06.07.2022,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Республики Карелия.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спорного договора, принимая во внимание обстоятельства, установленные вступившим в законную силу решением Арбитражного суда Республики Карелия от 12.01.2021 по делу № А26-5691/2020, признав подтвержденным факт нарушения обществом (субподрядчик) срока выполнения работ, суды первой и апелляционной инстанций пришли к выводу об обоснованности начисления компанией (генеральный подрядчик) неустойки на основании пункта 10.1 договора. Проверив и признав верным представленный компанией расчет неустойки, не установив вины кредитора в просрочке исполнения обязательства должником (статьи 405, 406 Гражданского кодекса российской Федерации), а также оснований для снижения неустойки в соответствии со статьей 333 Гражданского кодекса Российской Федерации, руководствуясь статьями 309, 310, 329, 330, 702, 708, 740 Гражданского кодекса Российской Федерации, суды удовлетворили иск, с чем впоследствии согласился суд округа.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«Стройкомфорт»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