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Шишкина Виктора Анатольевича в Арбитражный суд Удмуртской Республики обратился финансовый управляющий Матвеев С.Л. с заявлением о взыскании с Серебрякова Николая Николаевича 150 000 рублей судебных расходов, понесенных при рассмотрении жалобы на действия (бездействие) финансового управляющего Матвеева С.Л. Определением Арбитражного суда Удмуртской Республики от 18.01.2022 заявление удовлетворено в части взыскания 30 000 рублей судебных расходов, в удовлетворении заявления в остальной части отказано. Постановлением Семнадцатого арбитражного апелляционного суда от 11.03.2022 определение суда первой инстанции оставлено без изменения. Арбитражный суд Уральского округа постановлением от 16.06.2022 указанные судебные акты оставил без изменения. Матвеев С.Л. обратился в Судебную коллегию Верховного Суда Российской Федерации с кассационной жалобой на принятые по спору судебные акты в части снижения размера расходов на оплату услуг представителя,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возмещении судебных расходов, суды, установив факт несения расходов на оплату услуг представителя, проанализировав объем фактически выполненной представителем работы, характер спора, степень его сложности, признали обоснованными и подлежащими возмещению судебные издержки в размере 30 000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