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Дзеранов Батраз Константинович обратился в суд с заявлением о взыскании с управления компенсации в размере 1 382 104 810 рублей, составляющей рыночную стоимость изъятого из конкурсной массы имущества. Определением Арбитражного суда Республики Северная Осетия – Алания от 02.03.2022, оставленным без изменения постановлениями Шестнадцатого арбитражного апелляционного суда от 28.06.2022 и Арбитражного суда Северо-Кавказского округа от 05.09.2022, заявление удовлетворено частично, с муниципального образования в лице управления в конкурсную массу должника взыскана компенсация в размере 471 626 551 рубль 63 копейки; отказано в удовлетворении остальной части требований. Не согласившись с вышеуказанными судебными актами, управление обратилось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указывает на существенность взыскиваемой суммы, специфику финансирования ответчика, а также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муниципального имущества и земельных ресурсов города Владикавказа о приостановлении исполнения определения Арбитражного суда Республики Северная Осетия – Алания от 02.03.2022 по делу А61-3290/2014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