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обратился в суд с заявлением о признании недействительными договора инвестирования строительства № 26/ДИС от 16.06.2014 с дополнительными соглашениями к нему, заключенного между должником и обществом с ограниченной ответственностью «Инвестпром». Определением Арбитражного суда города Москвы от 28.01.2022, оставленным без изменения постановлениями Девятого арбитражного апелляционного суда от 19.04.2022 и Арбитражного суда Московского округа от 06.07.2022,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170, 181 Гражданского кодекса Российской Федерации, пришли к выводу о недоказанности наличия причин для удовлетворения заявления о признании недействительной оспариваемой сделки, совершенной за периодом подозрительности. Суды также исходили из пропуска обратившимся с заявлением фондом срока исковой давности, что явилось самостоятельным основанием для отказа в удовлетворении заявленных требований.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Московскому фонду защиты прав граждан – участников долевого строительства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