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«Банк ВТБ» (далее – банк) обратился в суд с заявлением о признании не соответствующим Федеральному закону от 26.10.2002 № 127-ФЗ «О несостоятельности (банкротстве)» (далее – Закон о банкротстве) бездействия конкурсного управляющего Рыбкина В.В., выразившееся в неисполнении обязанностей по обеспечению сохранности залогового имущества, взыскании с него убытков. Определением Арбитражного суда Республики Карелия от 04.02.2022, оставленным без изменения постановлениями Тринадцатого арбитражного апелляционного суда от 13.04.2022 и Арбитражного суда Северо-Западного округа от 21.07.2022, заявление удовлетворено.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1064 Гражданского кодекса Российской Федерации, статьями 20.3, 20.4, 129 Закона о банкротстве, исходили из того, что в период исполнения обязанностей конкурсного управляющего Рыбкиным В.В. не обеспечена сохранность имущества должника, что повлекло за собой причинение убытков банку, в связи с чем удовлетворили его заявление.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 компания «Арсеналъ»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