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15.12.2021, оставленным без изменения постановлением Десятого арбитражного апелляционного суда от 15.03.2022 и постановлением Арбитражного суда Московского округа от 30.05.2022, с общества в пользу предпринимателя взыскано 2 883 104 руб. 99 коп. задолженности, 216 929 руб. процентов за пользование чужими денежными средствами, проценты, начисленные на сумму долга, начиная с 26.09.2020 по день фактической оплаты долга, в удовлетворении остальной части исковых требований отказано. 2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частично удовлетворяя исковые требования предпринимателя, получившего право требования спорных денежных средств на основании договора цессии, суды первой и апелляционной инстанций, с которыми впоследствии согласился суд округа, руководствовались статьями 309, 310, 382, 384, 388, 389, 395, 779, 781, 782 Гражданского кодекса Российской Федерации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исходили из доказанности факта наличия у общества задолженности за оказанные услуги во взысканном размере.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«Вольво Финанс Сервис Восток»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