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Синцова В.И. подает кассационную жалобу на судебные акты, принятые по заявлению кредитора о включении его требования в состав третьей очереди реестра требований кредиторов должника как обеспеченного залогом имущества - квартиры, расположенной по адресу: г.Тюмень, ул.Николая Зелинского, д.5, корп.2, кв.36 (к/н 72:17:1313991:11381). В связи с подачей жалобы и до ее рассмотрения заявитель просит о принятии обеспечительных мер в виде запрета Управлению Федеральной службы государственной регистрации, кадастра и картографии по Тюменской области совершать любые регистрационные действия в отношении указанного недвижимого имущества. Суд не усматривает условий, необходимых в силу статьи 90 Арбитражного процессуального кодекса Российской Федерации для принятия обеспечительных мер, поэтому отказывает в их применении. Руководствуясь статьями 93,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гражданке Синцовой В.И. в принятии обеспечительных мер. Судья Верховного Суда О.Ю.Шилохвост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