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Сизовой Г.Т. в Арбитражный суд Республики Татарстан обратился финансовый управляющий имуществом должника Вайнберг И.Ю. с заявлением, уточненным в порядке статьи 49 Арбитражного процессуального кодекса Российской Федерации, о признании недействительными договоров купли-продажи земельных участков, помещений, заключенных между должником и Шамгуновой Ириной Вячеславовной. АО «Российский Банк поддержки малого и среднего предпринимательства» также обратилось в Арбитражный суд Республики Татарстан с заявлением о признании недействительными договоров купли- продажи недвижимого имущества должника, заключенных между должником и Шамгуновой И.В., и применении последствий недействительности сделок. Судом указанные заявления объединены в одно производство для совместного рассмотрения. 2 Определением Арбитражного суда Республики Татарстан от 11.11.2021 заявленные требования удовлетворены частично. Постановлением Одиннадцатого арбитражного апелляционного суда от 11.03.2022 определение суда первой инстанции оставлено без изменения. Арбитражный суд Поволжского округа постановлением от 27.05.2022 указанные судебные акты изменил в части примененных последствий недействительности сделок. Сизова Г.Т. обратилась в Судебную коллегию Верховного Суда Российской Федерации с кассационной жалобой и дополнением к ней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10, 168, 170 Гражданского кодекса Российской Федерации и исходили из наличия оснований для признания сделок по отчуждению должником недвижимого имущества путем последовательного заключения договоров купли-продажи притворными, прикрывающими вывод ликвидного имущества из конкурсной массы должника. В частности, суды установили, что договоры купли-продажи гаражей-стоянок, кладовых, земельных участков и квартир совершены должником в отсутствие доказательств встречного предоставления, по заниженной цене, с заинтересованными лицами, при наличии неисполненных обязательств перед иными кредиторами, оспариваемые договоры купли-продажи являются последовательной цепочкой сделок, совершены сторонами с целью создания мнимости и притворности исполнения обязательств, с намерением вывода активов должника и причинения вреда имущественным правам кредиторов должника. 3 Суд кассационной инстанции, изменяя судебные акты суда первой и апелляционной инстанций в части примененных последствий недействительности сделок, руководствовался положениями пункта 2 статьи 167 Гражданского кодекса Российской Федерации, обязав ответчиков возвратить в конкурсную массу должника спорные объекты недвижимости.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Заявитель не лишена возможности обратиться в суды апелляционной и кассационной инстанций с заявлением об исправлении опечатки в принятых судебных актах.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