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Восьмого арбитражного апелляционного суда от 15.04.2022, оставленным без изменения постановлением Арбитражного суда Западно- Сибирского округа от 09.06.2022, апелляционная жалоба Старцева С.И. на решение Арбитражного суда Тюменской области от 20.01.2022 возвращена заявителю применительно к пункту 1 части 1 статьи 264 Арбитражного процессуального кодекса Российской Федерации (далее – АПК РФ). Не согласившись с принятыми по делу судебными актами, Старцев С.И. обратился с кассационной жалобой в Верховный Суд Российской Федерации. Изучив изложенные в жалобе доводы и принятые по делу судебные акты, судья Верховного Суда Российской Федерации приходит к выводу об отсутствии оснований, предусмотренных пунктом 1 части 7 статьи 2916 АПК РФ,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Возвращая апелляционную жалобу, суд апелляционной инстанции, руководствуясь положениями статей 16, 42, 257 АПК РФ, разъяснениями, изложенными в пунктах 1 и 2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2 арбитражном суде апелляционной инстанции», пришел к выводу об отсутствии у заявителя права на обжалование решения суда первой инстанции в порядке апелляционного производства, поскольку судебный акт о правах и обязанностях Старцева С.И. не принимался, а также не создает препятствий для реализации его прав или надлежащего исполнения обязанностей по отношению к одной из сторон спора. Суд округа поддержал выводы суда апелляционной инстанции, отметив, что вопрос возможного оказания влияния решения суда на права или обязанности Старцева С.И. по отношению к одной из сторон спора исследовался судами в ходе рассмотрения настоящего дела. По причине отсутствия такого влияния определением Арбитражного суда Тюменской области от 20.01.2022, оставленным без изменения постановлением Восьмого арбитражного апелляционного суда от 16.05.2022, было отказано в удовлетворении ходатайства о вступлении в дело Старцева С.И. в качестве третьего лица, не заявляющего самостоятельных требований относительно предмета спора. Вопреки доводу заявителя, несоблюдение срока, установленного для разрешения вопроса о принятии апелляционной жалобы к производству, не опровергает правомерность возврата апелляционной жалобы судом при наличии к тому достаточных оснований. Изложенные в кассационной жалобе доводы основаны на ином толковании заявителем норм процессуального и материального права, не подтверждают наличие судебной ошибки, повлиявшей на исход дела, и наличие оснований, предусмотренных статьей 2916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Старцеву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