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27.12.2021, оставленным без изменения постановлением Шестого арбитражного апелляционного суда от 24.03.2022 и постановлением Арбитражного суда Дальневосточного округа от 15.06.2022,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выводов судов фактическим обстоятельствам дела, просит отменить указанные судебные акты и направить дело на новое рассмотрение в Арбитражный суд Амурской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спорного договора по правилам статьи 431 Гражданского кодекса Российской Федерации, установив факт выполнения компанией работ, принятия результата этих работ обществом и отсутствие доказательств их полной оплаты, руководствуясь статьями 309, 310, 330, 702, 708, 709, 753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заявителя о наличии оснований для зачета встречных однородных требований были предметом рассмотрения судов, им дана надлежащая правовая оценка с учетом установленных фактических обстоятельств.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«Мирастрой»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