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01.12.2021, оставленным без изменения постановлением Девятого арбитражного апелляционного суда от 21.02.2022 и постановлением Арбитражного суда Московского округа от 07.06.2022, исковые требования удовлетворены.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принять по делу новый судебный акт о частичном удовлетворении исковых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2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309, 310, 330, 779, 781 Гражданского кодекса Российской Федерации, суды первой и апелляционной инстанций пришли к выводу о наличии оснований для удовлетворения исковых требований, исходя из подтвержденности факта оказания компанией услуг обществу и отсутствия доказательств их оплаты. Суд округа поддержал выводы судов первой и апелляционной инстанций. Доводы кассационной жалобы были предметом рассмотрения судов и получили правовую оценку, не опровергают выводы судов, направлены на переоценку обстоятельств дела, установленных судами,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Поскольку в передаче кассационной жалобы для рассмотрения в судебном заседании Судебной коллегии Верховного Суда Российской Федерации отказано, ходатайство общества о приостановлении исполнения решения суда первой инстанции рассмотрению не подлежит.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«Самария Ямми»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