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Погосян Григорий Аркадьевич обратился в суд с заявлениями о признании недействительными перечислений денежных средств, совершённых должником в пользу общества в период с 29.08.2016 по 30.05.2019 в размере 686 431 854 рублей 32 копеек. Впоследствии в отдельное производство выделены требования о признании недействительными сделками перечислений за период с 22.11.2016 по 11.12.2018 в размере 289 281 655 рублей 33 копеек с назначением «Оплата по договору цессии» и применении последствий недействительности данных сделок. Определением Арбитражного суда города Москвы от 18.02.2022, оставленным без изменения постановлениями Девятого арбитражного апелляционного суда от 17.05.2022 и Арбитражного суда Московского округа от 08.09.2022, признаны недействительными сделками перечисление должником в пользу общества денежных средств в размере 289 281 655 рублей 33 копеек, применены последствия недействительности сделок в виде взыскания с общества в конкурсную массу должника денежных средств в указанном размере. Не согласившись с вышеуказанными судебными актами, заявитель обратился в Верховный Суд Российской Федерации с кассационной жалобой, 2 заявив ходатайство о приостановлении исполнения обжалуемого определения суда первой инстанции.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Учитывая, что материалы настоящего обособленного спора истребованы и заявитель надлежащим образом обосновал направленность испрашиваемой им меры на обеспечение баланса интересов лиц, вовлеченных в спорные отношения, в соответствии с положениями частей 3, 5 и 6 статьи 291.6 Арбитражного процессуального кодекса Российской Федерации ходатайство подлежащит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«Центр внедрения «Протек» удовлетворить. Приостановить исполнение определения Арбитражного суда города Москвы от 18.02.2022 по делу № А40-225341/2019 до окончания кассационного производства в Верховном Суде Российской Федерации по настоящей жалобе.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