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Чувашской Республики – Чувашии от 13.05.2020 удовлетворено заявление фонда о намерении стать приобретателем прав должника на земельный участок площадью 3216,0 кв.м, с кадастровым номером 21:01:030102:253, принадлежащего должнику на праве собственности и предназначенного для строительства ЖК, и исполнить обязательства должника перед участниками строительства, требования которых включены в реестр требований участников строительства. Впоследствии конкурсный управляющий должником Егунов Иван Борисович обратился в суд с заявлением о вынесении дополнительного определения к определению от 13.05.2020. Определением Арбитражного суда Чувашской Республики – Чувашии от 05.06.2020, оставленным без изменения постановлением Первого арбитражного апелляционного суда от 18.05.2021, заявление удовлетворено, 2 фонд обязан в течение семи рабочих дней перечислить денежные средства в размере 180 762 095 рублей 29 копеек. В кассационной жалобе, поданной в Верховный Суд Российской Федерации, заявитель просит отменить указанные судебные акты в части погашения требований 4-й и 5-й очереди на сумму 71 757 912 рублей 89 копеек, и в части перечисления денежных средств в размере 180 762 095 рублей 29 копеек на специальный счёт должника. Определением судьи Верховного Суда Российской Федерации от 25.01.2022 № 301-ЭС18-5769 (6) производство по кассационной жалобе фонда приостановлено до вступления в законную силу судебного акта, принятого по результатам рассмотрения заявления фонда о пересмотре определения суда первой инстанции от 05.06.2020 по вновь открывшимся обстоятельствам. В связи с принятием постановления Первого арбитражного апелляционного суда от 21.09.2022, оставившим без изменения определение Арбитражного суда Чувашской Республики – Чувашии от 04.04.2022, которым, в свою очередь, отказано в удовлетворении заявления фонда о пересмотре судебного акта, определением Верховного Суда Российской Федерации от 28.09.2022 № 301-ЭС18-5769 (6) производство по жалобе возобновлено.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201.10, 201.15 и 201.15-1 Федерального закона от 26.10.2002 № 127-ФЗ «О несостоятельности (банкротстве)», исходили из того, что при удовлетворении заявления фонда погашению подлежит задолженность по текущим платежам в указанном размере, признав сам размер разумным и обоснованным. Выводы судов соответствуют нормам права, оснований для переоценки этих выводов не имеется. Нарушений норм материального права, а также норм 3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«Фонд защиты прав граждан- участников долевого строительства в Чувашской Республике»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