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исключении из конкурсной массы двух промышленных вертикальных гидравлических прессов – ПГП-24МШ и СТАТИКО 30, как принадлежащих заявителю, а не должнику, аннулировании сообщения о размещении инвентаризационной описи, расторжении договора купли-продажи, заключенного с победителем торгов по итогам реализации указанного имущества и обязании возвратить имущество заявителю. Определением Арбитражного суда города Москвы от 22.12.2021, оставленным без изменения постановлениями Девятого арбитражного апелляционного суда от 22.03.2022 и Арбитражного суда Московского округа от 26.05.2022,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129 и статьи 131 Федерального закона от 26.10.2002 № 127-ФЗ «О несостоятельности (банкротстве)», исходили из недоказанности наличия причин для удовлетворения требований общества по заявленным основаниям, указав на отсутствие надлежащих доказательств, подтверждающих принадлежность оспариваемого имущества обществу, равно как и доказательств незаконного владения должником данным имуществом.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«Эксперт Втор»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