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Чувашской Республики – Чувашии от 13.05.2020 удовлетворено заявление фонда о намерении стать приобретателем прав должника на земельный участок площадью 3216,0 кв.м, с кадастровым номером 21:01:030102:253, принадлежащего должнику на праве собственности и предназначенного для строительства ЖК по ул. Калинина, 83 в г. Чебоксары, и исполнить обязательства должника перед участниками строительства, требования которых включены в реестр требований участников строительства. Впоследствии конкурсный управляющий должником Егунов Иван Борисович обратился в суд с заявлением о вынесении дополнительного определения к определению от 13.05.2020. Определением Арбитражного суда Чувашской Республики – Чувашии от 05.06.2020, оставленным без изменения постановлением Первого арбитражного апелляционного суда от 18.05.2021, заявление удовлетворено, фонд обязан в течение семи рабочих дней перечислить денежные средства в размере 180 762 095 рублей 29 копеек. В кассационной жалобе, поданной в Верховный Суд Российской Федерации 25.11.2021, заявитель просит отменить указанные судебные акты в 2 части погашения требований 4-й и 5-й очереди на сумму 71 757 912 рублей 89 копеек, а также в части перечисления денежных средств в размере 180 762 095 рублей 29 копеек на специальный счёт должника. Определением судьи Верховного Суда Российской Федерации от 25.01.2022 № 301-ЭС18-5769 (6) производство по кассационной жалобе фонда приостановлено до вступления в законную силу судебного акта, принятого по результатам рассмотрения заявления фонда о пересмотре определения суда первой инстанции от 05.06.2020 по вновь открывшимся обстоятельствам. Постановлением Первого арбитражного апелляционного суда от 21.09.2022 оставлено без изменения определение Арбитражного суда Чувашской Республики – Чувашии от 04.04.2022, которым отказано в удовлетворении заявления фонда о пересмотре судебного акта по вновь открывшимся обстоятельствам. Постановление апелляционного суда от 21.09.2022 вступило в силу со дня его принятия. В настоящее время обстоятельства, вызвавшие приостановление производства по кассационной жалобе фонда, отпали, поэтому производство по жалобе следует возобновить. На основании изложенного и руководствуясь статьями 146 и 147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возобновить производство по кассационной жалобе некоммерческой организации «Фонд защиты прав граждан-участников долевого строительства в Чувашской Республике» на определение Арбитражного суда Чувашской Республики – Чувашии от 05.06.2020 и постановление Первого арбитражного апелляционного суда от 18.05.2021 по делу № А79-2220/2016.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