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Лучихина А.А. обратилась в суд с заявлением о взыскании с бывшего руководителя должника Рослякова Сергея Петровича убытков, причиненных должнику, в общей сумме 18 422 256 рублей 07 копеек. Определением Арбитражного суда Свердловской области от 14.12.2021, оставленным без изменения постановлением Семнадцатого арбитражного апелляционного суда от 11.03.2022, заявление удовлетворено. Постановлением Арбитражного суда Уральского округа от 03.06.2022 отменены определение суда первой инстанции от 14.12.2021 и постановление апелляционного суда от 11.03.2022, обособленный спор направлен на новое рассмотрение в Арбитражный суд Свердловской области. В кассационной жалобе, поданной в Верховный Суд Российской Федерации, заявитель просит отменить названое постановление суда округа и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положениями статьи 15 Гражданского кодекса Российской Федерации, исходил из неполного исследования судами обстоятельств дела, которые имеют существенное значение для разрешения спора, что привело к преждевременным выводам о наличии причинно-следственной связи между действиями (бездействием) Рослякова С.П. и убытками на стороне должника и его кредиторов в заявленном размере.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В связи с тем, что вопрос об удовлетворении либо отказе в удовлетворении требований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«Предприятие «Специма» Лучихиной Анастасии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