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02.11.2021, постановлением Четырнадцатого арбитражного апелляционного суда от 08.02.2022 и постановлением Арбитражного суда Северо-Западного округа от 07.06.2022, иск удовлетворен.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направить дело на новое рассмотрение в Арбитражный суд Тверской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доказательства, руководствуясь статьями 15, 1064 Гражданского кодекса Российской Федерации, положениями Федерального закона от 10.01.2002 № 7-ФЗ «Об охране окружающей среды», Методики исчисления размера вреда, причиненного почвам как объекту охраны окружающей среды, утвержденной приказом Министерством природных ресурсов и экологии Российской Федерации от 08.07.2010 № 238, разъяснениями, изложенными в постановлении Пленума Верховного Суда Российской Федерации от 30.11.2017 № 49 «О некоторых вопросах применения законодательства о возмещении вреда, причиненного окружающей среде», суды первой и апелляционной инстанций пришли к выводу о наличии оснований для удовлетворения иска, исходя из доказанности факта причинения вреда спорному земельному участку, противоправности и виновности действий общества, наличия причинно-следственной связи между данными противоправными действиями последнего и наступившими вредными последствиями. Суд округа поддержал выводы судов первой и апелляционной инстанций. Доводы кассационной жалобы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«Лихославльавтодор»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