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16.11.2021, оставленным без изменения постановлением Девятого арбитражного апелляционного суда от 16.02.2022 и постановлением Арбитражного суда Московского округа от 24.05.2022, иск удовлетворен. В кассационной жалобе, поданной в Верховный Суд Российской Федерации, компания, ссылаясь на неправильное применение судами норм права, просит отменить указанные судебные акты и принять новый судебный акт об отказе в удовлетворении иска.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2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исходя из конкретных обстоятельств дела, установив несоразмерность уплаченной обществом (исполнитель) неустойки последствиям нарушения обязательства, руководствуясь статьями 10, 309, 310, 330, 428, 431, 1102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первой и апелляционной пришли к выводу о наличии оснований для уменьшения размера неустойки по правилам статьи 333 Гражданского кодекса Российской Федерации, удовлетворив исковые требования. Суд округа поддержал выводы судов первой и апелляционной инстанций.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«Федеральная пассажирская компания»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