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Подрядова Л.А. обратилась в суд с заявлением о включении в реестр требований в реестр требований участников строительства требование о передаче квартиры № 283 площадью 41,1 кв.м с кадастровым номером 02:55:000000:26250 (в денежном выражении требование на 1 293 750 рублей), а также просила включить в реестр требований кредиторов её денежное требование в размере 109 690 рублей – непогашенная задолженность по исполнительным листам. Определением Арбитражного суда Республики Башкортостан от 10.09.2021, оставленным без изменения постановлениями Восемнадцатого арбитражного апелляционного суда от 0302.2022 и Арбитражного суда Уральского округа от 23.05.2022, требование Подрядовой Л.А. в размере 1 403 440 рублей признано обоснованным и подлежащим включению в четвёртую очередь реестра требований кредиторов должника.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Исходя из содержания настоящей жалобы, заявитель не согласен с судебными актами в части определения очерёдности погашения требований Подрядовой Л.А. Жалоба изучена в пределах изложенных в ней доводов.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201.6, 201.7 и 201.9 Федерального закона от 26.10.2002 № 127-ФЗ «О несостоятельности (банкротстве)», пришли к выводу о том, что в данном конкретном случае заявленные Подрядовой Л.А. требования подлежат трансформации в денежные и включению в четвертую очередь реестра требований кредиторов должника.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Подрядовой Любови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