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инициатива» (далее – Общество) обратилось в Арбитражный суд Иркутской области с иском к обществу с ограниченной ответственностью «Энергосвязьстрой» (далее – Компания) о взыскании 2 563 750 рублей, из них: 1 250 000 рублей основного долга за услуги технического заказчика, оказанные по договору от 29.03.2016, 1 313 750 рублей пени за просрочку оплаты с их последующим начислением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«ЭкоРесурс». Решением Арбитражного суда Иркутской области от 11.10.2021, оставленным без изменения постановлением Четвертого арбитражного апелляционного суда от 04.02.2022 и постановлением Арбитражного суда Восточно-Сибирского округа от 20.05.2022,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 первой инстанции необоснованно отказал в отложении судебного разбирательства и необоснованно не снизил размер взысканной неустойки. Общество не доказало выполнение обязательств по договору.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Компанией (заказчик) и Обществом (исполнитель) заключен договор от 29.03.2016 на выполнение функций технического заказчика при строительстве объекта: «Торговый центр в Ленинском районе г. Иркутска по ул. Трактовая, 7». Истец направил в адрес ответчика акт оказанных услуг от 19.01.2018 № 1/1. Ссылаясь на неоплату заказчиком оказанных услуг, исполнитель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329, 330, 779, 781 Гражданского кодекса Российской Федерации (далее – Гражданский кодекс), суды удовлетворили заявленные требования, придя к выводу о том, что факт окончания строительства, надлежащий ввод объекта в эксплуатацию, а также отсутствие претензий со стороны надзорных органов при его приемке подтверждают надлежащее оказание услуг Обществом. Компания, получив акт от 19.01.2018 № 1/1, не предоставила мотивированный отказ от приемки работ. Доводы о необоснованном отказе суда первой инстанции в снижении неустойки на основании статьи 333 Гражданского кодекса отклоняются, поскольку соответствующего ходатайства ответчиком в суде первой инстанции не заявлялось.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«Энергосвязьстрой»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