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03.12.2021 иск удовлетворен. Постановлением Девятого арбитражного апелляционного суда от 17.03.2022 производство по апелляционной жалобе компании прекращено, решение суда первой инстанции оставлено без изменения. Постановлением Арбитражного суда Московского округа от 22.06.2022 решение суда первой инстанции и постановление суда апелляционной инстанции оставлены без изменения. В кассационных жалобах, поданных в Верховный Суд Российской Федерации, общество и компания просят отменить указанные судебные акты как принятые с нарушением норм материального и процессуального права.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принятых по делу судебных актов и доводов кассационных жалоб не установлено. Исследовав и оценив по правилам статьи 71 Арбитражного процессуального кодекса Российской Федерации представленные в материалы дела, суды первой и апелляционной инстанций пришли к выводу о том, что выявленные истцом в процессе эксплуатации объекта в период гарантийного срока недостатки являются следствием некачественного выполнения обществом работ по договорам подряда и подлежали устранению в рамках исполнения гарантийных обязательств. Установив, что истец обращался к ответчику за устранением недостатков, однако последним указанные недостатки не устранены, работы по их устранению выполнены с привлечением иного лица, руководствуясь статьями 15, 721, 723, 754 Гражданского кодекса Российской Федерации, суды признали иск обоснованным. Прекращая производство по апелляционной жалобе компании, апелляционный суд исходил из отсутствия у данного лица права на обжалование решения суда первой инстанции, поскольку оно не принято о его правах и обязанностях. Суд округа поддержал выводы судов первой и апелляционной инстанций, мотивированно отклонив доводы заявителей. Доводы кассационных жалоб не свидетельствуют о допущенных судами нарушениях норм права, которые служили бы достаточным основанием в силу части 1 статьи 291.11 Арбитражного процессуального кодекса Российской Федерации к отмене обжалуемых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общества с ограниченной ответственностью «РЕГИОН СТРОЙ РЕСТАВРАЦИЯ» и общества с ограниченной ответственностью «СОКОЛ ТВК»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