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Рязанской области от 19.11.2021 завершена процедура реализации имущества должника и должник освобожден от дальнейшего исполнения требований кредиторов, в том числе требований, не заявленных при введении реализации имущества гражданина. Постановлением Двадцатого арбитражного апелляционного суда от 27.01.2022 определение суда первой инстанции оставлено без изменения. Арбитражный суд Центрального округа постановлением от 06.06.2022 указанные судебные акты отменил в части применения в отношении должника правила об освобождении от исполнения обязательств перед ООО «Интер- Прайм» и в указанной части направил дело на новое рассмотрение в суд первой инстанции; в остальной части указанные судебные акты оставил без изменения. Финансовый управляющий имуществом должника Чепурных А.А. обратился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 дополнения к ней не установлено. Отменяя принятые судебные акты в части освобождения должника от дальнейшего исполнения обязательств и направляя дело в указанной части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