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Судебную коллегию Верховного Суда Российской Федерации с кассационной жалобой на вышеуказанные судебные акты, одновременно заявив ходатайство о зачете государственной пошлины. Согласно статьям 102, 104 Арбитражного процессуального кодекса Российской Федерации основания и порядок уплаты государственной пошлины, а также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пунктом 6 статьи 333.40 Налогового кодекса Российской Федерации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2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Согласно разъяснениям, содержащимся в пункте 3 постановления Пленума Высшего Арбитражного Суда Российской Федерации от 11.07.2014 № 46 «О применении законодательства о государственной пошлине при рассмотрении дел в арбитражных судах», если в случае возвращения заявления, жалобы государственная пошлина фактически не была возвращена плательщику из бюджета, сумма государственной пошлины может засчитываться в счет уплаты государственной пошлины в связи с повторным предъявлением аналогичного или иного обращения в арбитражный суд при условиях, что не истек трехгодичный срок со дня принятия соответствующего решения суда о возврате государственной пошлины из бюджета или со дня уплаты этой суммы в бюджет и к повторному обращению приложен подлинный документ об уплате государственной пошлины при наличии оснований для ее возврата из бюджета в полном размере либо копия документа об уплате государственной пошлины, заверенная судьей, при наличии оснований для ее частичного возврата из бюджета, копия судебного акта о возврате государственной пошлины, заверенная судьей и содержащая гербовую печать арбитражного суда. Рассмотрев ходатайство заявителя и представленные в его обоснование документы, суд приходит к выводу об отсутствии оснований для его удовлетворения, поскольку оригиналы документов, необходимых для зачета государственной пошлины, заявителем в Верховный Суд Российской Федерации не представлены. В соответствии с пунктом 1 части 1 статьи 291.5 Арбитражного процессуального кодекса Российской Федерации отсутствие приложенных к кассационной жалобе документов, подтверждающих уплату государственной пошлины, является самостоятельным основанием для возвращения кассационной жалобы без рассмотрения по существу. На основании изложенного, руководствуясь статьями 104, 184, 185, 291.3 и 291.5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«Элемент-Трейд» о зачете государственной пошлины отказать. 3 Кассационную жалобу на решение Арбитражного суда Челябинской области от 17.12.2021, постановление Восемнадцатого арбитражного апелляционного суда от 13.04.2022 и постановление Арбитражного суда Уральского округа от 26.07.2022 по делу № А76-24513/2021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