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Перервы Ю.И. в Арбитражный суд Приморского края обратился финансовый управляющий его имуществом Карась О.В. с заявлением об исключении из конкурсной массы должника жилого помещения. Определением Арбитражного суда Приморского края от 16.12.2021 из конкурсной массы должника исключено жилое помещение – комната № 13. Постановлением Пятого арбитражного апелляционного суда от 23.03.2022 определение суда первой инстанции оставлено без изменения. Арбитражный суд Дальневосточного округа постановлением от 03.06.2022 указанные судебные акты оставил без изменения. Перерва Ю.И.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Федерального закона от 26.10.2002 № 127-ФЗ «О несостоятельности (банкротстве)» и признали в качестве единственного пригодного для постоянного проживания должника жилья, подлежащего исключению из конкурсной массы, с учетом площади и санитарно-гигиенического состояния жилого помещения, комнату № 13, в связи с чем исключили ее из конкурсной массы должника, а также установили, что жилые помещения – комнаты № № 7, 8, 9 представляют собой единый комплекс, с общей площадью 56,3 кв.м, и используются в качестве нежилых для осуществления предпринимательской деятельности.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