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Соколова Н.М. в Арбитражный суд Костромской области обратился должник с ходатайством об исключении из конкурсной массы денежной суммы либо выделения имущества, от реализации которого можно получить для проживания денежные средства. Определением Арбитражного суда Костромской области от 12.04.2021 ходатайство должника об исключении из конкурсной массы денежных средств возвращено применительно к пункту 4 части 1 статьи 129 Арбитражного процессуального кодекса Российской Федерации. Определением Второго арбитражного апелляционного суда от 17.05.2022 апелляционная жалоба должника на определение суда первой инстанции возвращена на основании пункта 3 части 1 статьи 264 АПК РФ в связи с пропуском предельного шестимесячного срока на обжалование судебного акта. Арбитражный суд Волго-Вятского округа постановлением от 08.07.2022 определение суда апелляционной инстанции оставил без изменения. Соколов Н.М. обратился в Судебную коллегию Верховного Суда Российской Федерации с кассационной жалобой на судебные акты судов 2 апелляционной и кассационной инстанций,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Установив, что жалоба подана должником по истечении предельного шестимесячного срока на обжалование, суд апелляционной инстанции отказал в удовлетворении заявленного ходатайства и возвратил апелляционную жалобу. Проверив в порядке статей 286, 287 АПК РФ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