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Соколова Н.М. в Арбитражный суд Костромской области обратился должник с ходатайством об исключении из конкурсной массы денежной суммы либо выделения имущества, от реализации которого можно получить для проживания денежные средства Определением Арбитражного суда Костромской области от 13.01.2020 ходатайство должника об исключении из конкурсной массы денежных средств возвращено. Определением Второго арбитражного апелляционного суда от 12.05.2022 апелляционная жалоба должника на определение суда первой инстанции возвращена на основании пункта 3 части 1 статьи 264 Арбитражного процессуального кодекса Российской Федерации в связи с пропуском предельного шестимесячного срока на обжалование судебного акта. Арбитражный суд Волго-Вятского округа постановлением от 08.07.2022 определение суда апелляционной инстанции оставил без изменения. Соколов Н.М. обратился в Судебную коллегию Верховного Суда Российской Федерации с кассационной жалобой на судебные акты судов 2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жалоба подана должником по истечении предельного шестимесячного срока на обжалование, суд апелляционной инстанции отказал в удовлетворении заявленного ходатайства и возвратил апелляционную жалобу.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апелляционной инстанции, установленным фактическим обстоятельствам и имеющимся в деле доказательствам.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