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Соколова Н.М. определением Арбитражного суда Костромской области от 28.10.2019 утверждено Положение о порядке, условиях и сроках реализации имущества должника. Определением Второго арбитражного апелляционного суда от 16.05.2022 апелляционная жалоба должника на определение суда первой инстанции возвращена на основании пункта 3 части 1 статьи 264 Арбитражного процессуального кодекса Российской Федерации в связи с пропуском предельного шестимесячного срока на обжалование судебного акта. Арбитражный суд Волго-Вятского округа постановлением от 13.07.2022 определение суда апелляционной инстанции оставил без изменения. Соколов Н.М. обратился в Судебную коллегию Верховного Суда Российской Федерации с кассационной жалобой на судебные акты судов апелляционной и кассационной инстанций,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жалоба подана должником по истечении предельного шестимесячного срока на обжалование, суд апелляционной инстанции отказал в удовлетворении заявленного ходатайства и возвратил апелляционную жалобу.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апелляционной инстанции, установленным фактическим обстоятельствам и имеющимся в деле доказательствам.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