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предприниматель не лишен возможности на основании части 2 статьи 1.7 , части 2 статьи 31.7 , статьи 31.8 Кодекса Российской Федерации об административных правонарушениях, с учетом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 обратиться в орган, вынесший постановление о привлечении к административной ответственности с заявлением о снижении размера назначенного штрафа и прекращении исполнения оспариваемого постановления в части при наличии к этому соответствующих оснований.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№16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