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предприниматель не лишен возможности на основании части 2 статьи 1.7 , части 2 статьи 31.7 , статьи 31.8 Кодекса Российской Федерации об административных правонарушениях, с учетом разъяснений, изложенных в пункте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 1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публично-правового правонарушения» обратиться в орган, вынесший постановление о привлечении к административной ответственности с заявлением о снижении размера назначенного штрафа и прекращении исполнения оспариваемого постановления в части при наличии к этому соответствующих оснований.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Касауров Юрий Александрович (подробнее) Ответчики: Межрайонная инспекция Федеральной налоговой службы №16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