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Утверждение в жалобе о том, что суд первой инстанции не объявил исследование доказательств законченным и пропустил стадию судебных прений, не может быть расценено как существенное нарушение норм процессуального права, влекущее отмену судебного акта, поскольку данное обстоятельство не привело к неправильному разрешению дела. Иные доводы жалобы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на рассмотрение Судебной коллегии Верховного Суда Российской Федерации.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«Сфера»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