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Выводы судов относительно исчисления срока давности привлечения к административной ответственности не противоречат правовой позиции, изложенной в Определениях Конституционного Суда Российской Федерации от 21.06.2011 № 923-О-О, 02.11.2011 № 1570-О-О, 02.12.2013 № 1909-О.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«Ишимское пассажирское автотранспортное предприятие»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"ИШИМСКОЕ ПАССАЖИРСКОЕ АВТОТРАНСПОРТНОЕ ПРЕДПРИЯТИЕ" (подробнее) Ответчики: Управление Федеральной антимонопольной службы по Тюменской области (подробнее) Иные лица: 8 ААС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