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В целом доводы кассационной жалобы направлены на переоценку доказательств и установление иных обстоятельств по делу, отличных от установленных судами, что не входит в полномочия кассационной инстанции Верховного Суда Российской Федерации.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Министерству образования и науки Забайкальского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Муниципальное казенное учреждение "Комитет образования администрации муниципального района "Карымский район" (подробнее) Ответчики: ОСП УПРАВЛЕНИЕ ФЕДЕРАЛЬНОЙ АНТИМОНОПОЛЬНОЙ СЛУЖБЫ ПО ЗАБАЙКАЛЬСКОМУ КРАЮ (подробнее) Иные лица: Администрация городского поселения "Карымское" (подробнее) Администрация муниципального района "Карымский район" (подробнее) Арбитражный суд Забайкальского края (подробнее) ИП Абаджян Жирар Андраникович (подробнее) Комитет образования администрации муниципального района "Карымский район" (подробнее) Комитет по управлению имуществом, земельным вопросам и градостроительной деятельности Администрации муниципального района "Карымский район" Забайкальского края (подробнее) МДОУ "Детский сад "Малыш" п. Карымское" (подробнее) ООО "МАК" (подробнее) Прокуратура Карымского района Забайкальского края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