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При этом предприниматель не лишена возможности обратиться в орган, вынесший постановление о привлечении к административной ответственности, с заявлением о прекращении исполнения этого постановления в части при наличии к этому соответствующих оснований. Ходатайство о проведении видеоконференц-связи подлежит оставлению без удовлетворения, поскольку судья Верховного Суда Российской Федерации изучает кассационные жалобу по приложенным к ней материалам без вызова сторон. Руководствуясь статьями 2916, 2918 Арбитражного процессуального кодекса Российской Федерации, судья Верховного Суда Российской Федерации 2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Семеновой Татьяне Анатольевне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