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от 20.02.2018 №250 ПК, заключенного между индивидуальным предпринимателем Башковым Михаилом Владимировичем и должником, применении последствий недействительности сделки. Определением Арбитражного суда Московской области от 07.12.2021, оставленным без изменения постановлениями Десятого арбитражного апелляционного суда от 09.03.2022 и Арбитражного суда Московского округа от 26.05.2022,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69 Арбитражного процессуального кодекса Российской Федерации, статьи 170 Гражданского кодекса Российской Федерации, пункта 2 статьи 61.2 Федерального закона от 26.10.2002 № 127-ФЗ «О несостоятельности (банкротстве)», исходили из недоказанности причин для удовлетворения требований по заявленным основаниям, отметив в том числе то, что ряд обстоятельств, на которые ссылается конкурсный управляющий должником, уже были предметом исследования в рамках дела № А40-123248/2019 Арбитражного суда города Москвы.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«Прибор-Контроль Ишутину Владимиру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